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18B14C0E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554454">
        <w:rPr>
          <w:rFonts w:asciiTheme="minorHAnsi" w:hAnsiTheme="minorHAnsi" w:cstheme="minorHAnsi"/>
          <w:color w:val="auto"/>
          <w:sz w:val="28"/>
          <w:szCs w:val="28"/>
          <w:lang w:val="fr-FR"/>
        </w:rPr>
        <w:t>ESG</w:t>
      </w:r>
      <w:r w:rsidR="00FA5437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Exit – </w:t>
      </w:r>
      <w:r w:rsidR="00554454">
        <w:rPr>
          <w:rFonts w:asciiTheme="minorHAnsi" w:hAnsiTheme="minorHAnsi" w:cstheme="minorHAnsi"/>
          <w:color w:val="auto"/>
          <w:sz w:val="28"/>
          <w:szCs w:val="28"/>
          <w:lang w:val="fr-FR"/>
        </w:rPr>
        <w:t>ES-NbN</w:t>
      </w:r>
      <w:r w:rsidR="00B34124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D00C35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B34124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8044D2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07826" w:rsidRPr="00D827A6" w14:paraId="4745C82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12C22EA" w14:textId="77777777" w:rsidR="00007826" w:rsidRPr="00D827A6" w:rsidRDefault="00007826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444633" w14:textId="77777777" w:rsidR="00007826" w:rsidRPr="00D827A6" w:rsidRDefault="00007826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9000D2" w14:paraId="13568721" w14:textId="77777777" w:rsidTr="0063571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3F2F4428" w14:textId="77777777" w:rsidR="009000D2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9000D2" w14:paraId="0FDF1D4D" w14:textId="77777777" w:rsidTr="0063571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798AB33C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90AF21E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13F74357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9000D2" w14:paraId="5E4EB2EA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D73CB64" w14:textId="77777777" w:rsidR="009000D2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9000D2" w14:paraId="3639D98E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C3290F4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AEFA13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26091DF1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6CE614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67763A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D3786C3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9000D2" w:rsidRPr="00D827A6" w14:paraId="37909F31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45BF9F2" w14:textId="77777777" w:rsidR="009000D2" w:rsidRPr="00D827A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000D2" w:rsidRPr="00D827A6" w14:paraId="502C2C9B" w14:textId="77777777" w:rsidTr="0063571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237F251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7757ED42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0335E308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5536CAB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C7CAFE5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4674B184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05CB002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7D2956A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4BADFE5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000D2" w:rsidRPr="00D827A6" w14:paraId="373EBD3C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9B81D09" w14:textId="77777777" w:rsidR="009000D2" w:rsidRPr="00D827A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Permanent housing situations (if none of these options match, skip to “Other”)</w:t>
            </w:r>
          </w:p>
        </w:tc>
      </w:tr>
      <w:tr w:rsidR="009000D2" w:rsidRPr="00D827A6" w14:paraId="5D5F69E3" w14:textId="77777777" w:rsidTr="0063571C">
        <w:trPr>
          <w:trHeight w:val="792"/>
        </w:trPr>
        <w:tc>
          <w:tcPr>
            <w:tcW w:w="5398" w:type="dxa"/>
            <w:hideMark/>
          </w:tcPr>
          <w:p w14:paraId="7CEE6DE7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61FB1F37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79E97B2F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0D27C418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99A96AC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A93290A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A9A3556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58FCC968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4C77837" w14:textId="77777777" w:rsidR="009000D2" w:rsidRPr="00B97D03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35BC33A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25D5B9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2290842F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D2BB301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307EDC1F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DCF51E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586C192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7DBCDB06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12B5EFA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07E788F2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587D6382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9000D2" w14:paraId="07F773B6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06E0661" w14:textId="77777777" w:rsidR="009000D2" w:rsidRPr="00D55AE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9000D2" w14:paraId="707E36A6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B1EB0A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236B1470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5DFBE181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307036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5F19813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4FEBA11" w14:textId="77777777" w:rsidR="009000D2" w:rsidRDefault="009000D2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BB4890" w14:textId="77777777" w:rsidR="002D0FE8" w:rsidRDefault="002D0FE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65CC114" w14:textId="77777777" w:rsidR="002D0FE8" w:rsidRDefault="002D0FE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5A4C60ED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0E9EB87" w14:textId="77777777" w:rsidR="004C44A3" w:rsidRPr="00D827A6" w:rsidRDefault="004C44A3" w:rsidP="004C44A3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HAnsi"/>
          <w:b/>
          <w:sz w:val="14"/>
          <w:szCs w:val="18"/>
        </w:rPr>
      </w:pPr>
    </w:p>
    <w:p w14:paraId="184C3234" w14:textId="57C90F9F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F22838" w:rsidRPr="00D827A6" w14:paraId="302BAA50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55DB039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163E36BA" w14:textId="77777777" w:rsidR="00F22838" w:rsidRPr="0041750A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6BC64400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F22838" w:rsidRPr="00D827A6" w14:paraId="22609CA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3191B6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06AFB40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996FBE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46D5E87A" w14:textId="77777777" w:rsidTr="0063571C">
        <w:tc>
          <w:tcPr>
            <w:tcW w:w="2970" w:type="dxa"/>
          </w:tcPr>
          <w:p w14:paraId="6F6650DD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3390FD8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21981F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685D497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447D0B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97DD7FA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D36884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683DC277" w14:textId="77777777" w:rsidTr="0063571C">
        <w:tc>
          <w:tcPr>
            <w:tcW w:w="2970" w:type="dxa"/>
          </w:tcPr>
          <w:p w14:paraId="5DD97A28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7B30356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37CDD2D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22838" w:rsidRPr="00D827A6" w14:paraId="40DA899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45A3523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3B53464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A7AE67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47DDDA80" w14:textId="77777777" w:rsidTr="0063571C">
        <w:tc>
          <w:tcPr>
            <w:tcW w:w="2970" w:type="dxa"/>
          </w:tcPr>
          <w:p w14:paraId="1ADD86CE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3F89469B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06683E0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22838" w:rsidRPr="00D827A6" w14:paraId="70DA5D0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5144E3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708AB0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2953335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7053D02A" w14:textId="77777777" w:rsidTr="0063571C">
        <w:tc>
          <w:tcPr>
            <w:tcW w:w="2970" w:type="dxa"/>
          </w:tcPr>
          <w:p w14:paraId="042FE183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BEB1DC1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5E153AC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028EE4DF" w14:textId="77777777" w:rsidR="00AE318B" w:rsidRPr="00D827A6" w:rsidRDefault="00AE318B" w:rsidP="00AE318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6383E623" w14:textId="52E3A71D" w:rsidR="00516058" w:rsidRPr="008044D2" w:rsidRDefault="00516058" w:rsidP="00AE318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516058" w:rsidRPr="008044D2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8391E" w14:textId="77777777" w:rsidR="00C079A4" w:rsidRDefault="00C079A4">
      <w:pPr>
        <w:spacing w:line="240" w:lineRule="auto"/>
      </w:pPr>
      <w:r>
        <w:separator/>
      </w:r>
    </w:p>
  </w:endnote>
  <w:endnote w:type="continuationSeparator" w:id="0">
    <w:p w14:paraId="14D23AAD" w14:textId="77777777" w:rsidR="00C079A4" w:rsidRDefault="00C079A4">
      <w:pPr>
        <w:spacing w:line="240" w:lineRule="auto"/>
      </w:pPr>
      <w:r>
        <w:continuationSeparator/>
      </w:r>
    </w:p>
  </w:endnote>
  <w:endnote w:type="continuationNotice" w:id="1">
    <w:p w14:paraId="08E81EA3" w14:textId="77777777" w:rsidR="00C079A4" w:rsidRDefault="00C079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C00A4" w14:textId="77777777" w:rsidR="00D00C35" w:rsidRDefault="00D00C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AEF8C36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554454">
      <w:rPr>
        <w:rFonts w:asciiTheme="minorHAnsi" w:hAnsiTheme="minorHAnsi" w:cstheme="minorHAnsi"/>
        <w:color w:val="808080" w:themeColor="background1" w:themeShade="80"/>
        <w:sz w:val="14"/>
        <w:szCs w:val="14"/>
      </w:rPr>
      <w:t>ESG</w:t>
    </w:r>
    <w:r w:rsidR="00FA5437" w:rsidRPr="00FA543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– </w:t>
    </w:r>
    <w:r w:rsidR="00554454">
      <w:rPr>
        <w:rFonts w:asciiTheme="minorHAnsi" w:hAnsiTheme="minorHAnsi" w:cstheme="minorHAnsi"/>
        <w:color w:val="808080" w:themeColor="background1" w:themeShade="80"/>
        <w:sz w:val="14"/>
        <w:szCs w:val="14"/>
      </w:rPr>
      <w:t>ES-NbN</w:t>
    </w:r>
    <w:r w:rsidR="00FA5437" w:rsidRPr="00FA543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D00C35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8044D2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B34124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5E702D5B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D00C35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D00C35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26524" w14:textId="77777777" w:rsidR="00D00C35" w:rsidRDefault="00D00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3DA83" w14:textId="77777777" w:rsidR="00C079A4" w:rsidRDefault="00C079A4">
      <w:pPr>
        <w:spacing w:line="240" w:lineRule="auto"/>
      </w:pPr>
      <w:r>
        <w:separator/>
      </w:r>
    </w:p>
  </w:footnote>
  <w:footnote w:type="continuationSeparator" w:id="0">
    <w:p w14:paraId="250228D1" w14:textId="77777777" w:rsidR="00C079A4" w:rsidRDefault="00C079A4">
      <w:pPr>
        <w:spacing w:line="240" w:lineRule="auto"/>
      </w:pPr>
      <w:r>
        <w:continuationSeparator/>
      </w:r>
    </w:p>
  </w:footnote>
  <w:footnote w:type="continuationNotice" w:id="1">
    <w:p w14:paraId="04C04FAD" w14:textId="77777777" w:rsidR="00C079A4" w:rsidRDefault="00C079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14B6" w14:textId="77777777" w:rsidR="00D00C35" w:rsidRDefault="00D00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0B75" w14:textId="77777777" w:rsidR="00D00C35" w:rsidRDefault="00D00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08D68" w14:textId="77777777" w:rsidR="00D00C35" w:rsidRDefault="00D00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9130533">
    <w:abstractNumId w:val="2"/>
  </w:num>
  <w:num w:numId="2" w16cid:durableId="1896819757">
    <w:abstractNumId w:val="0"/>
  </w:num>
  <w:num w:numId="3" w16cid:durableId="200411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07826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0CFA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36D6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0FE8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50AD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0169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454"/>
    <w:rsid w:val="00554B9B"/>
    <w:rsid w:val="005575A5"/>
    <w:rsid w:val="00557AC9"/>
    <w:rsid w:val="005614DE"/>
    <w:rsid w:val="0056446A"/>
    <w:rsid w:val="005654C1"/>
    <w:rsid w:val="0056703B"/>
    <w:rsid w:val="0056717A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44D2"/>
    <w:rsid w:val="00806CAD"/>
    <w:rsid w:val="0081027F"/>
    <w:rsid w:val="00811706"/>
    <w:rsid w:val="00816587"/>
    <w:rsid w:val="00817F23"/>
    <w:rsid w:val="00823E7F"/>
    <w:rsid w:val="00824DEA"/>
    <w:rsid w:val="0082591B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16BC"/>
    <w:rsid w:val="008F2044"/>
    <w:rsid w:val="008F3B93"/>
    <w:rsid w:val="008F45E6"/>
    <w:rsid w:val="008F4C6D"/>
    <w:rsid w:val="009000D2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0FFD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18B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34124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079A4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5FD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0C35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44D36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3146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2838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A5437"/>
    <w:rsid w:val="00FA7FAF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360BF-04DF-4FE8-9C2A-2CCD2132E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ED566-C726-410A-A33A-7C5054E6E3F1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DD838207-17E0-4FEF-91DA-9D52F2F94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4</cp:revision>
  <cp:lastPrinted>2016-08-15T19:54:00Z</cp:lastPrinted>
  <dcterms:created xsi:type="dcterms:W3CDTF">2023-12-14T14:44:00Z</dcterms:created>
  <dcterms:modified xsi:type="dcterms:W3CDTF">2025-09-17T15:31:00Z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28720700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